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783AB" w14:textId="56BE33A2" w:rsidR="00BE0573" w:rsidRPr="003B2E79" w:rsidRDefault="005768E6" w:rsidP="003B2E79">
      <w:pPr>
        <w:spacing w:after="0"/>
        <w:rPr>
          <w:rFonts w:ascii="Times New Roman" w:eastAsia="Times New Roman" w:hAnsi="Times New Roman" w:cs="Times New Roman"/>
          <w:b/>
          <w:bCs/>
          <w:sz w:val="30"/>
          <w:szCs w:val="30"/>
          <w:u w:val="single"/>
        </w:rPr>
      </w:pPr>
      <w:r>
        <w:rPr>
          <w:rFonts w:ascii="Times New Roman" w:eastAsia="Times New Roman" w:hAnsi="Times New Roman" w:cs="Times New Roman"/>
          <w:b/>
          <w:bCs/>
          <w:noProof/>
          <w:color w:val="000000"/>
          <w:sz w:val="32"/>
          <w:szCs w:val="32"/>
          <w:u w:val="single"/>
        </w:rPr>
        <w:drawing>
          <wp:anchor distT="0" distB="0" distL="114300" distR="114300" simplePos="0" relativeHeight="251658240" behindDoc="1" locked="0" layoutInCell="1" allowOverlap="1" wp14:anchorId="0B6C7DCA" wp14:editId="59CFB0E8">
            <wp:simplePos x="0" y="0"/>
            <wp:positionH relativeFrom="margin">
              <wp:align>center</wp:align>
            </wp:positionH>
            <wp:positionV relativeFrom="paragraph">
              <wp:posOffset>-641350</wp:posOffset>
            </wp:positionV>
            <wp:extent cx="2066925" cy="616250"/>
            <wp:effectExtent l="0" t="0" r="0" b="0"/>
            <wp:wrapNone/>
            <wp:docPr id="1301943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43543" name="Picture 13019435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6925" cy="616250"/>
                    </a:xfrm>
                    <a:prstGeom prst="rect">
                      <a:avLst/>
                    </a:prstGeom>
                  </pic:spPr>
                </pic:pic>
              </a:graphicData>
            </a:graphic>
            <wp14:sizeRelH relativeFrom="margin">
              <wp14:pctWidth>0</wp14:pctWidth>
            </wp14:sizeRelH>
            <wp14:sizeRelV relativeFrom="margin">
              <wp14:pctHeight>0</wp14:pctHeight>
            </wp14:sizeRelV>
          </wp:anchor>
        </w:drawing>
      </w:r>
      <w:r w:rsidR="00133FF2" w:rsidRPr="003B2E79">
        <w:rPr>
          <w:rFonts w:ascii="Times New Roman" w:eastAsia="Times New Roman" w:hAnsi="Times New Roman" w:cs="Times New Roman"/>
          <w:b/>
          <w:bCs/>
          <w:sz w:val="30"/>
          <w:szCs w:val="30"/>
          <w:u w:val="single"/>
        </w:rPr>
        <w:t>AMERICAN ENERGY AND MINERAL INFRASTRUCTURE ACT OF 2026</w:t>
      </w:r>
    </w:p>
    <w:p w14:paraId="071FFE95" w14:textId="6F37CE36" w:rsidR="00BE0573" w:rsidRPr="00004E11" w:rsidRDefault="00BE0573" w:rsidP="00004E11">
      <w:pPr>
        <w:spacing w:after="0"/>
        <w:jc w:val="center"/>
        <w:rPr>
          <w:rFonts w:ascii="Times New Roman" w:eastAsia="Times New Roman" w:hAnsi="Times New Roman" w:cs="Times New Roman"/>
          <w:b/>
          <w:bCs/>
          <w:i/>
          <w:iCs/>
          <w:sz w:val="26"/>
          <w:szCs w:val="26"/>
        </w:rPr>
      </w:pPr>
      <w:r w:rsidRPr="007F2F40">
        <w:rPr>
          <w:rFonts w:ascii="Times New Roman" w:eastAsia="Times New Roman" w:hAnsi="Times New Roman" w:cs="Times New Roman"/>
          <w:b/>
          <w:bCs/>
          <w:i/>
          <w:iCs/>
          <w:sz w:val="26"/>
          <w:szCs w:val="26"/>
        </w:rPr>
        <w:t>Section</w:t>
      </w:r>
      <w:r w:rsidR="000B1C7D">
        <w:rPr>
          <w:rFonts w:ascii="Times New Roman" w:eastAsia="Times New Roman" w:hAnsi="Times New Roman" w:cs="Times New Roman"/>
          <w:b/>
          <w:bCs/>
          <w:i/>
          <w:iCs/>
          <w:sz w:val="26"/>
          <w:szCs w:val="26"/>
        </w:rPr>
        <w:t>-</w:t>
      </w:r>
      <w:r w:rsidRPr="007F2F40">
        <w:rPr>
          <w:rFonts w:ascii="Times New Roman" w:eastAsia="Times New Roman" w:hAnsi="Times New Roman" w:cs="Times New Roman"/>
          <w:b/>
          <w:bCs/>
          <w:i/>
          <w:iCs/>
          <w:sz w:val="26"/>
          <w:szCs w:val="26"/>
        </w:rPr>
        <w:t>by</w:t>
      </w:r>
      <w:r w:rsidR="000B1C7D">
        <w:rPr>
          <w:rFonts w:ascii="Times New Roman" w:eastAsia="Times New Roman" w:hAnsi="Times New Roman" w:cs="Times New Roman"/>
          <w:b/>
          <w:bCs/>
          <w:i/>
          <w:iCs/>
          <w:sz w:val="26"/>
          <w:szCs w:val="26"/>
        </w:rPr>
        <w:t>-</w:t>
      </w:r>
      <w:r w:rsidRPr="007F2F40">
        <w:rPr>
          <w:rFonts w:ascii="Times New Roman" w:eastAsia="Times New Roman" w:hAnsi="Times New Roman" w:cs="Times New Roman"/>
          <w:b/>
          <w:bCs/>
          <w:i/>
          <w:iCs/>
          <w:sz w:val="26"/>
          <w:szCs w:val="26"/>
        </w:rPr>
        <w:t>Section</w:t>
      </w:r>
    </w:p>
    <w:p w14:paraId="00000001" w14:textId="06750C9C" w:rsidR="00B57131" w:rsidRPr="007F2F40" w:rsidRDefault="001347E2" w:rsidP="00BE0573">
      <w:pPr>
        <w:spacing w:after="0"/>
        <w:jc w:val="both"/>
        <w:rPr>
          <w:rFonts w:ascii="Times New Roman" w:eastAsia="Times New Roman" w:hAnsi="Times New Roman" w:cs="Times New Roman"/>
          <w:b/>
          <w:bCs/>
          <w:u w:val="single"/>
        </w:rPr>
      </w:pPr>
      <w:r w:rsidRPr="007F2F40">
        <w:rPr>
          <w:rFonts w:ascii="Times New Roman" w:eastAsia="Times New Roman" w:hAnsi="Times New Roman" w:cs="Times New Roman"/>
          <w:b/>
          <w:bCs/>
          <w:u w:val="single"/>
        </w:rPr>
        <w:t xml:space="preserve">Section 1. </w:t>
      </w:r>
      <w:r w:rsidR="00B550B4">
        <w:rPr>
          <w:rFonts w:ascii="Times New Roman" w:eastAsia="Times New Roman" w:hAnsi="Times New Roman" w:cs="Times New Roman"/>
          <w:b/>
          <w:bCs/>
          <w:u w:val="single"/>
        </w:rPr>
        <w:t>The American Energy and Mineral Infrastructure Act of 2026</w:t>
      </w:r>
    </w:p>
    <w:p w14:paraId="00000002" w14:textId="77777777" w:rsidR="00B57131" w:rsidRPr="003653AF" w:rsidRDefault="00B57131" w:rsidP="00BE0573">
      <w:pPr>
        <w:spacing w:after="0"/>
        <w:jc w:val="both"/>
        <w:rPr>
          <w:rFonts w:ascii="Times New Roman" w:eastAsia="Times New Roman" w:hAnsi="Times New Roman" w:cs="Times New Roman"/>
          <w:b/>
          <w:bCs/>
          <w:sz w:val="12"/>
          <w:szCs w:val="12"/>
          <w:u w:val="single"/>
        </w:rPr>
      </w:pPr>
    </w:p>
    <w:p w14:paraId="41BBB3B2" w14:textId="4D3910B8" w:rsidR="00096D48" w:rsidRPr="00676AFE" w:rsidRDefault="001347E2" w:rsidP="00BE0573">
      <w:pPr>
        <w:spacing w:after="0"/>
        <w:jc w:val="both"/>
        <w:rPr>
          <w:rFonts w:ascii="Times New Roman" w:eastAsia="Times New Roman" w:hAnsi="Times New Roman" w:cs="Times New Roman"/>
          <w:b/>
          <w:bCs/>
          <w:u w:val="single"/>
        </w:rPr>
      </w:pPr>
      <w:r w:rsidRPr="007F2F40">
        <w:rPr>
          <w:rFonts w:ascii="Times New Roman" w:eastAsia="Times New Roman" w:hAnsi="Times New Roman" w:cs="Times New Roman"/>
          <w:b/>
          <w:bCs/>
          <w:u w:val="single"/>
        </w:rPr>
        <w:t xml:space="preserve">Section 2. Promoting Interagency Coordination for Review of Natural Gas Pipelines </w:t>
      </w:r>
    </w:p>
    <w:p w14:paraId="784E2C7F" w14:textId="4FE80801" w:rsidR="00096D48" w:rsidRPr="00096D48" w:rsidRDefault="00096D48" w:rsidP="00FE0B62">
      <w:pPr>
        <w:spacing w:after="0"/>
        <w:jc w:val="both"/>
        <w:rPr>
          <w:rFonts w:ascii="Times New Roman" w:eastAsia="Times New Roman" w:hAnsi="Times New Roman" w:cs="Times New Roman"/>
          <w:lang w:val="en-US"/>
        </w:rPr>
      </w:pPr>
      <w:r w:rsidRPr="00096D48">
        <w:rPr>
          <w:rFonts w:ascii="Times New Roman" w:eastAsia="Times New Roman" w:hAnsi="Times New Roman" w:cs="Times New Roman"/>
          <w:lang w:val="en-US"/>
        </w:rPr>
        <w:t xml:space="preserve">This section centralizes federal permitting authority for Natural Gas Act </w:t>
      </w:r>
      <w:r>
        <w:rPr>
          <w:rFonts w:ascii="Times New Roman" w:eastAsia="Times New Roman" w:hAnsi="Times New Roman" w:cs="Times New Roman"/>
          <w:lang w:val="en-US"/>
        </w:rPr>
        <w:t xml:space="preserve">(NGA) </w:t>
      </w:r>
      <w:r w:rsidRPr="00096D48">
        <w:rPr>
          <w:rFonts w:ascii="Times New Roman" w:eastAsia="Times New Roman" w:hAnsi="Times New Roman" w:cs="Times New Roman"/>
          <w:lang w:val="en-US"/>
        </w:rPr>
        <w:t>Section</w:t>
      </w:r>
      <w:r w:rsidR="00280DBD">
        <w:rPr>
          <w:rFonts w:ascii="Times New Roman" w:eastAsia="Times New Roman" w:hAnsi="Times New Roman" w:cs="Times New Roman"/>
          <w:lang w:val="en-US"/>
        </w:rPr>
        <w:t xml:space="preserve"> 3 (</w:t>
      </w:r>
      <w:r w:rsidR="00280DBD" w:rsidRPr="007F2F40">
        <w:rPr>
          <w:rFonts w:ascii="Times New Roman" w:eastAsia="Times New Roman" w:hAnsi="Times New Roman" w:cs="Times New Roman"/>
        </w:rPr>
        <w:t xml:space="preserve">LNG import/export </w:t>
      </w:r>
      <w:r w:rsidR="0081459A" w:rsidRPr="007F2F40">
        <w:rPr>
          <w:rFonts w:ascii="Times New Roman" w:eastAsia="Times New Roman" w:hAnsi="Times New Roman" w:cs="Times New Roman"/>
        </w:rPr>
        <w:t xml:space="preserve">facilities) </w:t>
      </w:r>
      <w:r w:rsidR="0081459A" w:rsidRPr="00096D48">
        <w:rPr>
          <w:rFonts w:ascii="Times New Roman" w:eastAsia="Times New Roman" w:hAnsi="Times New Roman" w:cs="Times New Roman"/>
          <w:lang w:val="en-US"/>
        </w:rPr>
        <w:t>and</w:t>
      </w:r>
      <w:r w:rsidRPr="00096D48">
        <w:rPr>
          <w:rFonts w:ascii="Times New Roman" w:eastAsia="Times New Roman" w:hAnsi="Times New Roman" w:cs="Times New Roman"/>
          <w:lang w:val="en-US"/>
        </w:rPr>
        <w:t xml:space="preserve"> </w:t>
      </w:r>
      <w:r w:rsidR="00280DBD">
        <w:rPr>
          <w:rFonts w:ascii="Times New Roman" w:eastAsia="Times New Roman" w:hAnsi="Times New Roman" w:cs="Times New Roman"/>
          <w:lang w:val="en-US"/>
        </w:rPr>
        <w:t xml:space="preserve">Section </w:t>
      </w:r>
      <w:r w:rsidRPr="00096D48">
        <w:rPr>
          <w:rFonts w:ascii="Times New Roman" w:eastAsia="Times New Roman" w:hAnsi="Times New Roman" w:cs="Times New Roman"/>
          <w:lang w:val="en-US"/>
        </w:rPr>
        <w:t xml:space="preserve">7 </w:t>
      </w:r>
      <w:r w:rsidR="00280DBD">
        <w:rPr>
          <w:rFonts w:ascii="Times New Roman" w:eastAsia="Times New Roman" w:hAnsi="Times New Roman" w:cs="Times New Roman"/>
          <w:lang w:val="en-US"/>
        </w:rPr>
        <w:t xml:space="preserve">(pipelines) </w:t>
      </w:r>
      <w:r w:rsidRPr="00096D48">
        <w:rPr>
          <w:rFonts w:ascii="Times New Roman" w:eastAsia="Times New Roman" w:hAnsi="Times New Roman" w:cs="Times New Roman"/>
          <w:lang w:val="en-US"/>
        </w:rPr>
        <w:t xml:space="preserve">projects by designating FERC as the sole lead agency for </w:t>
      </w:r>
      <w:r w:rsidR="0081459A">
        <w:rPr>
          <w:rFonts w:ascii="Times New Roman" w:eastAsia="Times New Roman" w:hAnsi="Times New Roman" w:cs="Times New Roman"/>
          <w:lang w:val="en-US"/>
        </w:rPr>
        <w:t>National Environmental Policy Act (</w:t>
      </w:r>
      <w:r w:rsidRPr="00096D48">
        <w:rPr>
          <w:rFonts w:ascii="Times New Roman" w:eastAsia="Times New Roman" w:hAnsi="Times New Roman" w:cs="Times New Roman"/>
          <w:lang w:val="en-US"/>
        </w:rPr>
        <w:t>NEPA</w:t>
      </w:r>
      <w:r w:rsidR="0081459A">
        <w:rPr>
          <w:rFonts w:ascii="Times New Roman" w:eastAsia="Times New Roman" w:hAnsi="Times New Roman" w:cs="Times New Roman"/>
          <w:lang w:val="en-US"/>
        </w:rPr>
        <w:t>)</w:t>
      </w:r>
      <w:r w:rsidRPr="00096D48">
        <w:rPr>
          <w:rFonts w:ascii="Times New Roman" w:eastAsia="Times New Roman" w:hAnsi="Times New Roman" w:cs="Times New Roman"/>
          <w:lang w:val="en-US"/>
        </w:rPr>
        <w:t xml:space="preserve"> review, requiring early coordination with relevant agencies, and giving FERC’s environmental-scoping decisions maximum lawful deference. The section streamlines reviews by </w:t>
      </w:r>
      <w:r w:rsidR="00280DBD">
        <w:rPr>
          <w:rFonts w:ascii="Times New Roman" w:eastAsia="Times New Roman" w:hAnsi="Times New Roman" w:cs="Times New Roman"/>
          <w:lang w:val="en-US"/>
        </w:rPr>
        <w:t>incorporating</w:t>
      </w:r>
      <w:r w:rsidRPr="00096D48">
        <w:rPr>
          <w:rFonts w:ascii="Times New Roman" w:eastAsia="Times New Roman" w:hAnsi="Times New Roman" w:cs="Times New Roman"/>
          <w:lang w:val="en-US"/>
        </w:rPr>
        <w:t xml:space="preserve"> Clean Water Act</w:t>
      </w:r>
      <w:r w:rsidR="00280DBD">
        <w:rPr>
          <w:rFonts w:ascii="Times New Roman" w:eastAsia="Times New Roman" w:hAnsi="Times New Roman" w:cs="Times New Roman"/>
          <w:lang w:val="en-US"/>
        </w:rPr>
        <w:t xml:space="preserve"> (CWA)</w:t>
      </w:r>
      <w:r w:rsidRPr="00096D48">
        <w:rPr>
          <w:rFonts w:ascii="Times New Roman" w:eastAsia="Times New Roman" w:hAnsi="Times New Roman" w:cs="Times New Roman"/>
          <w:lang w:val="en-US"/>
        </w:rPr>
        <w:t xml:space="preserve"> Section 401 processes </w:t>
      </w:r>
      <w:r w:rsidR="00952C4F">
        <w:rPr>
          <w:rFonts w:ascii="Times New Roman" w:eastAsia="Times New Roman" w:hAnsi="Times New Roman" w:cs="Times New Roman"/>
          <w:lang w:val="en-US"/>
        </w:rPr>
        <w:t xml:space="preserve">for NGA projects </w:t>
      </w:r>
      <w:r w:rsidRPr="00096D48">
        <w:rPr>
          <w:rFonts w:ascii="Times New Roman" w:eastAsia="Times New Roman" w:hAnsi="Times New Roman" w:cs="Times New Roman"/>
          <w:lang w:val="en-US"/>
        </w:rPr>
        <w:t>into FERC-led NEPA reviews, setting unified and enforceable timelines for all authorizations</w:t>
      </w:r>
      <w:r w:rsidR="00E56A88">
        <w:rPr>
          <w:rFonts w:ascii="Times New Roman" w:eastAsia="Times New Roman" w:hAnsi="Times New Roman" w:cs="Times New Roman"/>
          <w:lang w:val="en-US"/>
        </w:rPr>
        <w:t xml:space="preserve">. This section </w:t>
      </w:r>
      <w:r w:rsidRPr="00096D48">
        <w:rPr>
          <w:rFonts w:ascii="Times New Roman" w:eastAsia="Times New Roman" w:hAnsi="Times New Roman" w:cs="Times New Roman"/>
          <w:lang w:val="en-US"/>
        </w:rPr>
        <w:t xml:space="preserve">enhances transparency </w:t>
      </w:r>
      <w:r w:rsidR="009A3A2F">
        <w:rPr>
          <w:rFonts w:ascii="Times New Roman" w:eastAsia="Times New Roman" w:hAnsi="Times New Roman" w:cs="Times New Roman"/>
          <w:lang w:val="en-US"/>
        </w:rPr>
        <w:t xml:space="preserve">by </w:t>
      </w:r>
      <w:r w:rsidR="0031601E">
        <w:rPr>
          <w:rFonts w:ascii="Times New Roman" w:eastAsia="Times New Roman" w:hAnsi="Times New Roman" w:cs="Times New Roman"/>
          <w:lang w:val="en-US"/>
        </w:rPr>
        <w:t xml:space="preserve">requiring FERC to publicly track </w:t>
      </w:r>
      <w:r w:rsidR="006B5682">
        <w:rPr>
          <w:rFonts w:ascii="Times New Roman" w:eastAsia="Times New Roman" w:hAnsi="Times New Roman" w:cs="Times New Roman"/>
          <w:lang w:val="en-US"/>
        </w:rPr>
        <w:t xml:space="preserve">authorizations that require </w:t>
      </w:r>
      <w:r w:rsidR="00502A4A">
        <w:rPr>
          <w:rFonts w:ascii="Times New Roman" w:eastAsia="Times New Roman" w:hAnsi="Times New Roman" w:cs="Times New Roman"/>
          <w:lang w:val="en-US"/>
        </w:rPr>
        <w:t>multiple agency approvals</w:t>
      </w:r>
      <w:r w:rsidR="0031601E">
        <w:rPr>
          <w:rFonts w:ascii="Times New Roman" w:eastAsia="Times New Roman" w:hAnsi="Times New Roman" w:cs="Times New Roman"/>
          <w:lang w:val="en-US"/>
        </w:rPr>
        <w:t xml:space="preserve"> </w:t>
      </w:r>
      <w:r w:rsidR="00E56A88">
        <w:rPr>
          <w:rFonts w:ascii="Times New Roman" w:eastAsia="Times New Roman" w:hAnsi="Times New Roman" w:cs="Times New Roman"/>
          <w:lang w:val="en-US"/>
        </w:rPr>
        <w:t xml:space="preserve">and provides certainty by </w:t>
      </w:r>
      <w:r w:rsidRPr="00096D48">
        <w:rPr>
          <w:rFonts w:ascii="Times New Roman" w:eastAsia="Times New Roman" w:hAnsi="Times New Roman" w:cs="Times New Roman"/>
          <w:lang w:val="en-US"/>
        </w:rPr>
        <w:t>prevent</w:t>
      </w:r>
      <w:r w:rsidR="00E56A88">
        <w:rPr>
          <w:rFonts w:ascii="Times New Roman" w:eastAsia="Times New Roman" w:hAnsi="Times New Roman" w:cs="Times New Roman"/>
          <w:lang w:val="en-US"/>
        </w:rPr>
        <w:t>ing</w:t>
      </w:r>
      <w:r w:rsidRPr="00096D48">
        <w:rPr>
          <w:rFonts w:ascii="Times New Roman" w:eastAsia="Times New Roman" w:hAnsi="Times New Roman" w:cs="Times New Roman"/>
          <w:lang w:val="en-US"/>
        </w:rPr>
        <w:t xml:space="preserve"> courts from vacating FERC orders under NGA Sections 3 or 7, and limits other agencies’ ability to block FERC-approved projects unless supported by clear and convincing evidence.</w:t>
      </w:r>
    </w:p>
    <w:p w14:paraId="1419F1B3" w14:textId="77777777" w:rsidR="00096D48" w:rsidRDefault="00096D48" w:rsidP="00BE0573">
      <w:pPr>
        <w:spacing w:after="0"/>
        <w:jc w:val="both"/>
        <w:rPr>
          <w:rFonts w:ascii="Times New Roman" w:eastAsia="Times New Roman" w:hAnsi="Times New Roman" w:cs="Times New Roman"/>
        </w:rPr>
      </w:pPr>
    </w:p>
    <w:p w14:paraId="00000013" w14:textId="5E09D892" w:rsidR="00B57131" w:rsidRPr="007F2F40" w:rsidRDefault="001347E2" w:rsidP="00BE0573">
      <w:pPr>
        <w:spacing w:after="0"/>
        <w:jc w:val="both"/>
        <w:rPr>
          <w:rFonts w:ascii="Times New Roman" w:eastAsia="Times New Roman" w:hAnsi="Times New Roman" w:cs="Times New Roman"/>
          <w:b/>
          <w:bCs/>
          <w:u w:val="single"/>
        </w:rPr>
      </w:pPr>
      <w:r w:rsidRPr="007F2F40">
        <w:rPr>
          <w:rFonts w:ascii="Times New Roman" w:eastAsia="Times New Roman" w:hAnsi="Times New Roman" w:cs="Times New Roman"/>
          <w:b/>
          <w:bCs/>
          <w:u w:val="single"/>
        </w:rPr>
        <w:t xml:space="preserve">Section </w:t>
      </w:r>
      <w:r w:rsidR="00AB4C1B" w:rsidRPr="007F2F40">
        <w:rPr>
          <w:rFonts w:ascii="Times New Roman" w:eastAsia="Times New Roman" w:hAnsi="Times New Roman" w:cs="Times New Roman"/>
          <w:b/>
          <w:bCs/>
          <w:u w:val="single"/>
        </w:rPr>
        <w:t>3</w:t>
      </w:r>
      <w:r w:rsidRPr="007F2F40">
        <w:rPr>
          <w:rFonts w:ascii="Times New Roman" w:eastAsia="Times New Roman" w:hAnsi="Times New Roman" w:cs="Times New Roman"/>
          <w:b/>
          <w:bCs/>
          <w:u w:val="single"/>
        </w:rPr>
        <w:t xml:space="preserve">. Improving Water Quality Certifications and American Energy Infrastructure </w:t>
      </w:r>
    </w:p>
    <w:p w14:paraId="025CA2E7" w14:textId="29B7C95B" w:rsidR="00D7735A" w:rsidRPr="00D7735A" w:rsidRDefault="001C49DE" w:rsidP="00FE0B62">
      <w:pPr>
        <w:spacing w:after="0"/>
        <w:jc w:val="both"/>
        <w:rPr>
          <w:rFonts w:ascii="Times New Roman" w:eastAsia="Times New Roman" w:hAnsi="Times New Roman" w:cs="Times New Roman"/>
          <w:lang w:val="en-US"/>
        </w:rPr>
      </w:pPr>
      <w:r w:rsidRPr="6AB37397">
        <w:rPr>
          <w:rFonts w:ascii="Times New Roman" w:eastAsia="Times New Roman" w:hAnsi="Times New Roman" w:cs="Times New Roman"/>
          <w:lang w:val="en-US"/>
        </w:rPr>
        <w:t xml:space="preserve">This section streamlines the Clean Water Act Section 401 certification process </w:t>
      </w:r>
      <w:r w:rsidR="003F2550" w:rsidRPr="6AB37397">
        <w:rPr>
          <w:rFonts w:ascii="Times New Roman" w:eastAsia="Times New Roman" w:hAnsi="Times New Roman" w:cs="Times New Roman"/>
          <w:lang w:val="en-US"/>
        </w:rPr>
        <w:t xml:space="preserve">by restricting state review to direct, point-source discharges into navigable waters and ensuring the analysis focuses solely on those discharges, rather than on </w:t>
      </w:r>
      <w:proofErr w:type="gramStart"/>
      <w:r w:rsidR="003F2550" w:rsidRPr="6AB37397">
        <w:rPr>
          <w:rFonts w:ascii="Times New Roman" w:eastAsia="Times New Roman" w:hAnsi="Times New Roman" w:cs="Times New Roman"/>
          <w:lang w:val="en-US"/>
        </w:rPr>
        <w:t>the broader</w:t>
      </w:r>
      <w:proofErr w:type="gramEnd"/>
      <w:r w:rsidR="003F2550" w:rsidRPr="6AB37397">
        <w:rPr>
          <w:rFonts w:ascii="Times New Roman" w:eastAsia="Times New Roman" w:hAnsi="Times New Roman" w:cs="Times New Roman"/>
          <w:lang w:val="en-US"/>
        </w:rPr>
        <w:t xml:space="preserve"> activity. </w:t>
      </w:r>
      <w:r w:rsidR="00920EF4" w:rsidRPr="6AB37397">
        <w:rPr>
          <w:rFonts w:ascii="Times New Roman" w:eastAsia="Times New Roman" w:hAnsi="Times New Roman" w:cs="Times New Roman"/>
          <w:lang w:val="en-US"/>
        </w:rPr>
        <w:t>Decisions must also</w:t>
      </w:r>
      <w:r w:rsidR="007D018D" w:rsidRPr="6AB37397">
        <w:rPr>
          <w:rFonts w:ascii="Times New Roman" w:eastAsia="Times New Roman" w:hAnsi="Times New Roman" w:cs="Times New Roman"/>
          <w:lang w:val="en-US"/>
        </w:rPr>
        <w:t xml:space="preserve"> rely</w:t>
      </w:r>
      <w:r w:rsidR="00D7735A" w:rsidRPr="6AB37397">
        <w:rPr>
          <w:rFonts w:ascii="Times New Roman" w:eastAsia="Times New Roman" w:hAnsi="Times New Roman" w:cs="Times New Roman"/>
          <w:lang w:val="en-US"/>
        </w:rPr>
        <w:t xml:space="preserve"> solely on compliance with federal </w:t>
      </w:r>
      <w:r w:rsidR="00CC65C3" w:rsidRPr="6AB37397">
        <w:rPr>
          <w:rFonts w:ascii="Times New Roman" w:eastAsia="Times New Roman" w:hAnsi="Times New Roman" w:cs="Times New Roman"/>
          <w:lang w:val="en-US"/>
        </w:rPr>
        <w:t>water quality</w:t>
      </w:r>
      <w:r w:rsidR="00D7735A" w:rsidRPr="6AB37397">
        <w:rPr>
          <w:rFonts w:ascii="Times New Roman" w:eastAsia="Times New Roman" w:hAnsi="Times New Roman" w:cs="Times New Roman"/>
          <w:lang w:val="en-US"/>
        </w:rPr>
        <w:t xml:space="preserve"> standards. It imposes strict, nonextendable timelines, including a </w:t>
      </w:r>
      <w:r w:rsidR="00CC65C3" w:rsidRPr="6AB37397">
        <w:rPr>
          <w:rFonts w:ascii="Times New Roman" w:eastAsia="Times New Roman" w:hAnsi="Times New Roman" w:cs="Times New Roman"/>
          <w:lang w:val="en-US"/>
        </w:rPr>
        <w:t>one-year</w:t>
      </w:r>
      <w:r w:rsidR="00D7735A" w:rsidRPr="6AB37397">
        <w:rPr>
          <w:rFonts w:ascii="Times New Roman" w:eastAsia="Times New Roman" w:hAnsi="Times New Roman" w:cs="Times New Roman"/>
          <w:lang w:val="en-US"/>
        </w:rPr>
        <w:t xml:space="preserve"> certification window, and prevents states from delaying reviews through procedural tactics or excessive information requests. Conditions</w:t>
      </w:r>
      <w:r w:rsidR="00207AD9" w:rsidRPr="6AB37397">
        <w:rPr>
          <w:rFonts w:ascii="Times New Roman" w:eastAsia="Times New Roman" w:hAnsi="Times New Roman" w:cs="Times New Roman"/>
          <w:lang w:val="en-US"/>
        </w:rPr>
        <w:t xml:space="preserve"> on certificates</w:t>
      </w:r>
      <w:r w:rsidR="00D7735A" w:rsidRPr="6AB37397">
        <w:rPr>
          <w:rFonts w:ascii="Times New Roman" w:eastAsia="Times New Roman" w:hAnsi="Times New Roman" w:cs="Times New Roman"/>
          <w:lang w:val="en-US"/>
        </w:rPr>
        <w:t xml:space="preserve"> may be imposed or denials issued only when supported by clear and convincing evidence, and conditions must be the least burdensome option. Judicial review is consolidated in federal appeals courts under expedited timelines, </w:t>
      </w:r>
      <w:r w:rsidR="00436197">
        <w:rPr>
          <w:rFonts w:ascii="Times New Roman" w:eastAsia="Times New Roman" w:hAnsi="Times New Roman" w:cs="Times New Roman"/>
          <w:lang w:val="en-US"/>
        </w:rPr>
        <w:t xml:space="preserve">there is </w:t>
      </w:r>
      <w:r w:rsidR="00436197">
        <w:rPr>
          <w:rFonts w:ascii="Times New Roman" w:eastAsia="Times New Roman" w:hAnsi="Times New Roman" w:cs="Times New Roman"/>
          <w:lang w:val="en-US"/>
        </w:rPr>
        <w:t xml:space="preserve">a higher burden of proof </w:t>
      </w:r>
      <w:r w:rsidR="7685ED9F" w:rsidRPr="779D7128">
        <w:rPr>
          <w:rFonts w:ascii="Times New Roman" w:eastAsia="Times New Roman" w:hAnsi="Times New Roman" w:cs="Times New Roman"/>
          <w:lang w:val="en-US"/>
        </w:rPr>
        <w:t xml:space="preserve">is </w:t>
      </w:r>
      <w:r w:rsidR="00436197">
        <w:rPr>
          <w:rFonts w:ascii="Times New Roman" w:eastAsia="Times New Roman" w:hAnsi="Times New Roman" w:cs="Times New Roman"/>
          <w:lang w:val="en-US"/>
        </w:rPr>
        <w:t>required to uphold a denial by</w:t>
      </w:r>
      <w:r w:rsidR="004C00CB">
        <w:rPr>
          <w:rFonts w:ascii="Times New Roman" w:eastAsia="Times New Roman" w:hAnsi="Times New Roman" w:cs="Times New Roman"/>
          <w:lang w:val="en-US"/>
        </w:rPr>
        <w:t xml:space="preserve"> the</w:t>
      </w:r>
      <w:r w:rsidR="00436197">
        <w:rPr>
          <w:rFonts w:ascii="Times New Roman" w:eastAsia="Times New Roman" w:hAnsi="Times New Roman" w:cs="Times New Roman"/>
          <w:lang w:val="en-US"/>
        </w:rPr>
        <w:t xml:space="preserve"> certifying authority</w:t>
      </w:r>
      <w:r w:rsidR="00D7735A" w:rsidRPr="6AB37397">
        <w:rPr>
          <w:rFonts w:ascii="Times New Roman" w:eastAsia="Times New Roman" w:hAnsi="Times New Roman" w:cs="Times New Roman"/>
          <w:lang w:val="en-US"/>
        </w:rPr>
        <w:t xml:space="preserve">, </w:t>
      </w:r>
      <w:r w:rsidR="00181D79" w:rsidRPr="6AB37397">
        <w:rPr>
          <w:rFonts w:ascii="Times New Roman" w:eastAsia="Times New Roman" w:hAnsi="Times New Roman" w:cs="Times New Roman"/>
          <w:lang w:val="en-US"/>
        </w:rPr>
        <w:t>standing requirements</w:t>
      </w:r>
      <w:r w:rsidR="00436197">
        <w:rPr>
          <w:rFonts w:ascii="Times New Roman" w:eastAsia="Times New Roman" w:hAnsi="Times New Roman" w:cs="Times New Roman"/>
          <w:lang w:val="en-US"/>
        </w:rPr>
        <w:t xml:space="preserve"> are refined</w:t>
      </w:r>
      <w:r w:rsidR="00D7735A" w:rsidRPr="6AB37397">
        <w:rPr>
          <w:rFonts w:ascii="Times New Roman" w:eastAsia="Times New Roman" w:hAnsi="Times New Roman" w:cs="Times New Roman"/>
          <w:lang w:val="en-US"/>
        </w:rPr>
        <w:t>, and</w:t>
      </w:r>
      <w:r w:rsidR="00436197">
        <w:rPr>
          <w:rFonts w:ascii="Times New Roman" w:eastAsia="Times New Roman" w:hAnsi="Times New Roman" w:cs="Times New Roman"/>
          <w:lang w:val="en-US"/>
        </w:rPr>
        <w:t xml:space="preserve"> </w:t>
      </w:r>
      <w:r w:rsidR="00D7735A" w:rsidRPr="6AB37397">
        <w:rPr>
          <w:rFonts w:ascii="Times New Roman" w:eastAsia="Times New Roman" w:hAnsi="Times New Roman" w:cs="Times New Roman"/>
          <w:lang w:val="en-US"/>
        </w:rPr>
        <w:t>courts</w:t>
      </w:r>
      <w:r w:rsidR="00436197">
        <w:rPr>
          <w:rFonts w:ascii="Times New Roman" w:eastAsia="Times New Roman" w:hAnsi="Times New Roman" w:cs="Times New Roman"/>
          <w:lang w:val="en-US"/>
        </w:rPr>
        <w:t xml:space="preserve"> </w:t>
      </w:r>
      <w:r w:rsidR="00436197">
        <w:rPr>
          <w:rFonts w:ascii="Times New Roman" w:eastAsia="Times New Roman" w:hAnsi="Times New Roman" w:cs="Times New Roman"/>
          <w:lang w:val="en-US"/>
        </w:rPr>
        <w:t>are prevented</w:t>
      </w:r>
      <w:r w:rsidR="00D7735A" w:rsidRPr="6AB37397">
        <w:rPr>
          <w:rFonts w:ascii="Times New Roman" w:eastAsia="Times New Roman" w:hAnsi="Times New Roman" w:cs="Times New Roman"/>
          <w:lang w:val="en-US"/>
        </w:rPr>
        <w:t xml:space="preserve"> </w:t>
      </w:r>
      <w:r w:rsidR="00D7735A" w:rsidRPr="6AB37397">
        <w:rPr>
          <w:rFonts w:ascii="Times New Roman" w:eastAsia="Times New Roman" w:hAnsi="Times New Roman" w:cs="Times New Roman"/>
          <w:lang w:val="en-US"/>
        </w:rPr>
        <w:t>from vacating certifications.</w:t>
      </w:r>
    </w:p>
    <w:p w14:paraId="00000023" w14:textId="77777777" w:rsidR="00B57131" w:rsidRPr="003653AF" w:rsidRDefault="00B57131" w:rsidP="00BE0573">
      <w:pPr>
        <w:spacing w:after="0"/>
        <w:rPr>
          <w:rFonts w:ascii="Times New Roman" w:eastAsia="Times New Roman" w:hAnsi="Times New Roman" w:cs="Times New Roman"/>
          <w:b/>
          <w:bCs/>
          <w:sz w:val="20"/>
          <w:szCs w:val="20"/>
          <w:u w:val="single"/>
        </w:rPr>
      </w:pPr>
    </w:p>
    <w:p w14:paraId="4EC3A37A" w14:textId="6254E650" w:rsidR="00FE0B62" w:rsidRDefault="001347E2" w:rsidP="00FE0B62">
      <w:pPr>
        <w:spacing w:after="0" w:line="240" w:lineRule="auto"/>
        <w:rPr>
          <w:rFonts w:ascii="Times New Roman" w:eastAsia="Times New Roman" w:hAnsi="Times New Roman" w:cs="Times New Roman"/>
          <w:lang w:val="en-US"/>
        </w:rPr>
      </w:pPr>
      <w:r w:rsidRPr="007F2F40">
        <w:rPr>
          <w:rFonts w:ascii="Times New Roman" w:eastAsia="Times New Roman" w:hAnsi="Times New Roman" w:cs="Times New Roman"/>
          <w:b/>
          <w:bCs/>
          <w:u w:val="single"/>
        </w:rPr>
        <w:t>Section</w:t>
      </w:r>
      <w:r w:rsidR="00FE0B62">
        <w:rPr>
          <w:rFonts w:ascii="Times New Roman" w:eastAsia="Times New Roman" w:hAnsi="Times New Roman" w:cs="Times New Roman"/>
          <w:b/>
          <w:bCs/>
          <w:u w:val="single"/>
        </w:rPr>
        <w:t xml:space="preserve"> </w:t>
      </w:r>
      <w:r w:rsidR="00AB4C1B" w:rsidRPr="007F2F40">
        <w:rPr>
          <w:rFonts w:ascii="Times New Roman" w:eastAsia="Times New Roman" w:hAnsi="Times New Roman" w:cs="Times New Roman"/>
          <w:b/>
          <w:bCs/>
          <w:u w:val="single"/>
        </w:rPr>
        <w:t>4</w:t>
      </w:r>
      <w:r w:rsidRPr="007F2F40">
        <w:rPr>
          <w:rFonts w:ascii="Times New Roman" w:eastAsia="Times New Roman" w:hAnsi="Times New Roman" w:cs="Times New Roman"/>
          <w:b/>
          <w:bCs/>
          <w:u w:val="single"/>
        </w:rPr>
        <w:t>. National Pollutant Discharge Elimination System</w:t>
      </w:r>
    </w:p>
    <w:p w14:paraId="46F128BF" w14:textId="17771740" w:rsidR="00DD13BF" w:rsidRPr="00DD13BF" w:rsidRDefault="00DD13BF" w:rsidP="00FE0B62">
      <w:pPr>
        <w:spacing w:after="0" w:line="276" w:lineRule="auto"/>
        <w:jc w:val="both"/>
        <w:rPr>
          <w:rFonts w:ascii="Times New Roman" w:eastAsia="Times New Roman" w:hAnsi="Times New Roman" w:cs="Times New Roman"/>
          <w:b/>
          <w:bCs/>
          <w:lang w:val="en-US"/>
        </w:rPr>
      </w:pPr>
      <w:r w:rsidRPr="00DD13BF">
        <w:rPr>
          <w:rFonts w:ascii="Times New Roman" w:eastAsia="Times New Roman" w:hAnsi="Times New Roman" w:cs="Times New Roman"/>
          <w:lang w:val="en-US"/>
        </w:rPr>
        <w:t>This section codifies EPA’s authority to issue general permits under Clean Water Act Section 402, requires EPA to give two years’ notice before allowing a general permit to expire, and ensures that expired permit terms remain in effect for existing covered discharges unless a non</w:t>
      </w:r>
      <w:r w:rsidRPr="00DD13BF">
        <w:rPr>
          <w:rFonts w:ascii="Times New Roman" w:eastAsia="Times New Roman" w:hAnsi="Times New Roman" w:cs="Times New Roman"/>
          <w:lang w:val="en-US"/>
        </w:rPr>
        <w:noBreakHyphen/>
        <w:t>renewal notice is issued. It reaffirms EPA’s and approved states’ roles in issuing NPDES permits for point</w:t>
      </w:r>
      <w:r w:rsidRPr="00DD13BF">
        <w:rPr>
          <w:rFonts w:ascii="Times New Roman" w:eastAsia="Times New Roman" w:hAnsi="Times New Roman" w:cs="Times New Roman"/>
          <w:lang w:val="en-US"/>
        </w:rPr>
        <w:noBreakHyphen/>
        <w:t>source discharges and extends the maximum permit duration from five to ten years to provide greater regulatory certainty for permit holders.</w:t>
      </w:r>
    </w:p>
    <w:p w14:paraId="64ADDE0A" w14:textId="2CB4F144" w:rsidR="00BE0573" w:rsidRPr="003653AF" w:rsidRDefault="00BE0573" w:rsidP="00DD13BF">
      <w:pPr>
        <w:spacing w:after="0"/>
        <w:rPr>
          <w:rFonts w:ascii="Times New Roman" w:eastAsia="Times New Roman" w:hAnsi="Times New Roman" w:cs="Times New Roman"/>
          <w:b/>
          <w:bCs/>
          <w:sz w:val="20"/>
          <w:szCs w:val="20"/>
          <w:u w:val="single"/>
        </w:rPr>
      </w:pPr>
    </w:p>
    <w:p w14:paraId="00000027" w14:textId="7D55C9E0" w:rsidR="00B57131" w:rsidRPr="007F2F40" w:rsidRDefault="001347E2" w:rsidP="00BE0573">
      <w:pPr>
        <w:spacing w:after="0"/>
        <w:jc w:val="both"/>
        <w:rPr>
          <w:rFonts w:ascii="Times New Roman" w:eastAsia="Times New Roman" w:hAnsi="Times New Roman" w:cs="Times New Roman"/>
          <w:b/>
          <w:bCs/>
          <w:u w:val="single"/>
        </w:rPr>
      </w:pPr>
      <w:r w:rsidRPr="007F2F40">
        <w:rPr>
          <w:rFonts w:ascii="Times New Roman" w:eastAsia="Times New Roman" w:hAnsi="Times New Roman" w:cs="Times New Roman"/>
          <w:b/>
          <w:bCs/>
          <w:u w:val="single"/>
        </w:rPr>
        <w:t xml:space="preserve">Section </w:t>
      </w:r>
      <w:r w:rsidR="00172138" w:rsidRPr="007F2F40">
        <w:rPr>
          <w:rFonts w:ascii="Times New Roman" w:eastAsia="Times New Roman" w:hAnsi="Times New Roman" w:cs="Times New Roman"/>
          <w:b/>
          <w:bCs/>
          <w:u w:val="single"/>
        </w:rPr>
        <w:t>5</w:t>
      </w:r>
      <w:r w:rsidRPr="007F2F40">
        <w:rPr>
          <w:rFonts w:ascii="Times New Roman" w:eastAsia="Times New Roman" w:hAnsi="Times New Roman" w:cs="Times New Roman"/>
          <w:b/>
          <w:bCs/>
          <w:u w:val="single"/>
        </w:rPr>
        <w:t>. Providing Certainty to Permits for Dredged or Fill Material</w:t>
      </w:r>
    </w:p>
    <w:p w14:paraId="695547F2" w14:textId="0FA7AFFD" w:rsidR="00841124" w:rsidRPr="00A50500" w:rsidRDefault="00841124" w:rsidP="00841124">
      <w:pPr>
        <w:spacing w:after="0"/>
        <w:jc w:val="both"/>
        <w:rPr>
          <w:rFonts w:ascii="Times New Roman" w:eastAsia="Times New Roman" w:hAnsi="Times New Roman" w:cs="Times New Roman"/>
          <w:lang w:val="en-US"/>
        </w:rPr>
      </w:pPr>
      <w:r w:rsidRPr="00A50500">
        <w:rPr>
          <w:rFonts w:ascii="Times New Roman" w:eastAsia="Times New Roman" w:hAnsi="Times New Roman" w:cs="Times New Roman"/>
          <w:lang w:val="en-US"/>
        </w:rPr>
        <w:t>This section narrows EPA’s ability to veto dredge</w:t>
      </w:r>
      <w:r w:rsidRPr="00A50500">
        <w:rPr>
          <w:rFonts w:ascii="Times New Roman" w:eastAsia="Times New Roman" w:hAnsi="Times New Roman" w:cs="Times New Roman"/>
          <w:lang w:val="en-US"/>
        </w:rPr>
        <w:noBreakHyphen/>
        <w:t>and</w:t>
      </w:r>
      <w:r w:rsidRPr="00A50500">
        <w:rPr>
          <w:rFonts w:ascii="Times New Roman" w:eastAsia="Times New Roman" w:hAnsi="Times New Roman" w:cs="Times New Roman"/>
          <w:lang w:val="en-US"/>
        </w:rPr>
        <w:noBreakHyphen/>
        <w:t>fill permits by limiting vetoes to the period between a complete permit application and the Corps’ final decision</w:t>
      </w:r>
      <w:r w:rsidR="00C33958">
        <w:rPr>
          <w:rFonts w:ascii="Times New Roman" w:eastAsia="Times New Roman" w:hAnsi="Times New Roman" w:cs="Times New Roman"/>
          <w:lang w:val="en-US"/>
        </w:rPr>
        <w:t>. This section also provides certainty to</w:t>
      </w:r>
      <w:r w:rsidRPr="00A50500">
        <w:rPr>
          <w:rFonts w:ascii="Times New Roman" w:eastAsia="Times New Roman" w:hAnsi="Times New Roman" w:cs="Times New Roman"/>
          <w:lang w:val="en-US"/>
        </w:rPr>
        <w:t xml:space="preserve"> the Army Corps’ nationwide permitting program by broadening its general</w:t>
      </w:r>
      <w:r w:rsidRPr="00A50500">
        <w:rPr>
          <w:rFonts w:ascii="Times New Roman" w:eastAsia="Times New Roman" w:hAnsi="Times New Roman" w:cs="Times New Roman"/>
          <w:lang w:val="en-US"/>
        </w:rPr>
        <w:noBreakHyphen/>
        <w:t xml:space="preserve">permit authority, extending permit terms to ten years, and requiring nationwide permits for pipelines and other linear infrastructure under defined impact thresholds. It restricts environmental review to impacts directly caused by dredged or fill </w:t>
      </w:r>
      <w:r w:rsidRPr="00A50500">
        <w:rPr>
          <w:rFonts w:ascii="Times New Roman" w:eastAsia="Times New Roman" w:hAnsi="Times New Roman" w:cs="Times New Roman"/>
          <w:lang w:val="en-US"/>
        </w:rPr>
        <w:lastRenderedPageBreak/>
        <w:t xml:space="preserve">material, treats impacts under three acres as minimal, and allows permit reissuance without new ESA consultations or full NEPA review. To reduce litigation risk, it sets strict judicial deadlines, </w:t>
      </w:r>
      <w:r w:rsidR="00992E51">
        <w:rPr>
          <w:rFonts w:ascii="Times New Roman" w:eastAsia="Times New Roman" w:hAnsi="Times New Roman" w:cs="Times New Roman"/>
          <w:lang w:val="en-US"/>
        </w:rPr>
        <w:t>refines standing</w:t>
      </w:r>
      <w:r w:rsidRPr="00A50500">
        <w:rPr>
          <w:rFonts w:ascii="Times New Roman" w:eastAsia="Times New Roman" w:hAnsi="Times New Roman" w:cs="Times New Roman"/>
          <w:lang w:val="en-US"/>
        </w:rPr>
        <w:t xml:space="preserve"> to directly harmed parties who raised detailed comments during permitting, requires challenges to be filed in federal courts of appeals, </w:t>
      </w:r>
      <w:r w:rsidR="00CC65C3">
        <w:rPr>
          <w:rFonts w:ascii="Times New Roman" w:eastAsia="Times New Roman" w:hAnsi="Times New Roman" w:cs="Times New Roman"/>
          <w:lang w:val="en-US"/>
        </w:rPr>
        <w:t>permit denials face a higher evidentiary standard</w:t>
      </w:r>
      <w:r w:rsidRPr="00A50500">
        <w:rPr>
          <w:rFonts w:ascii="Times New Roman" w:eastAsia="Times New Roman" w:hAnsi="Times New Roman" w:cs="Times New Roman"/>
          <w:lang w:val="en-US"/>
        </w:rPr>
        <w:t>, and generally bars courts from vacating or blocking permits</w:t>
      </w:r>
      <w:r w:rsidR="0090099E">
        <w:rPr>
          <w:rFonts w:ascii="Times New Roman" w:eastAsia="Times New Roman" w:hAnsi="Times New Roman" w:cs="Times New Roman"/>
          <w:lang w:val="en-US"/>
        </w:rPr>
        <w:t xml:space="preserve">. </w:t>
      </w:r>
    </w:p>
    <w:p w14:paraId="6AC173F7" w14:textId="77777777" w:rsidR="00D171F5" w:rsidRPr="003653AF" w:rsidRDefault="00D171F5" w:rsidP="00BE0573">
      <w:pPr>
        <w:spacing w:after="0"/>
        <w:jc w:val="both"/>
        <w:rPr>
          <w:rFonts w:ascii="Times New Roman" w:eastAsia="Times New Roman" w:hAnsi="Times New Roman" w:cs="Times New Roman"/>
          <w:b/>
          <w:bCs/>
          <w:sz w:val="20"/>
          <w:szCs w:val="20"/>
          <w:u w:val="single"/>
        </w:rPr>
      </w:pPr>
    </w:p>
    <w:p w14:paraId="4C27D48E" w14:textId="3936315B" w:rsidR="00CD2DC4" w:rsidRPr="007F2F40" w:rsidRDefault="00CD2DC4" w:rsidP="00BE0573">
      <w:pPr>
        <w:spacing w:after="0"/>
        <w:jc w:val="both"/>
        <w:rPr>
          <w:rFonts w:ascii="Times New Roman" w:eastAsia="Times New Roman" w:hAnsi="Times New Roman" w:cs="Times New Roman"/>
          <w:b/>
          <w:bCs/>
          <w:u w:val="single"/>
        </w:rPr>
      </w:pPr>
      <w:r w:rsidRPr="007F2F40">
        <w:rPr>
          <w:rFonts w:ascii="Times New Roman" w:eastAsia="Times New Roman" w:hAnsi="Times New Roman" w:cs="Times New Roman"/>
          <w:b/>
          <w:bCs/>
          <w:u w:val="single"/>
        </w:rPr>
        <w:t>Section 6. Hardrock Mining Mill Sites</w:t>
      </w:r>
    </w:p>
    <w:p w14:paraId="3F660038" w14:textId="77777777" w:rsidR="00FE0B62" w:rsidRPr="00FE0B62" w:rsidRDefault="00FE0B62" w:rsidP="001E1355">
      <w:pPr>
        <w:spacing w:after="0"/>
        <w:jc w:val="both"/>
        <w:rPr>
          <w:rFonts w:ascii="Times New Roman" w:eastAsia="Times New Roman" w:hAnsi="Times New Roman" w:cs="Times New Roman"/>
          <w:lang w:val="en-US"/>
        </w:rPr>
      </w:pPr>
      <w:r w:rsidRPr="00FE0B62">
        <w:rPr>
          <w:rFonts w:ascii="Times New Roman" w:eastAsia="Times New Roman" w:hAnsi="Times New Roman" w:cs="Times New Roman"/>
          <w:lang w:val="en-US"/>
        </w:rPr>
        <w:t>This section reaffirms traditional mining practices by allowing operators to use federal lands for essential mining</w:t>
      </w:r>
      <w:r w:rsidRPr="00FE0B62">
        <w:rPr>
          <w:rFonts w:ascii="Times New Roman" w:eastAsia="Times New Roman" w:hAnsi="Times New Roman" w:cs="Times New Roman"/>
          <w:lang w:val="en-US"/>
        </w:rPr>
        <w:noBreakHyphen/>
        <w:t xml:space="preserve">related activities, overturning court restrictions that required proven mineral deposits for such uses, and permitting as many mill site claims as are reasonably necessary to support operations. It authorizes the use and occupancy of public lands consistent with approved plans of operation and creates a new Abandoned Hardrock Mine Fund, financed by fees from mill site claims, which the Department of the Interior must use to clean up and reclaim abandoned </w:t>
      </w:r>
      <w:proofErr w:type="spellStart"/>
      <w:r w:rsidRPr="00FE0B62">
        <w:rPr>
          <w:rFonts w:ascii="Times New Roman" w:eastAsia="Times New Roman" w:hAnsi="Times New Roman" w:cs="Times New Roman"/>
          <w:lang w:val="en-US"/>
        </w:rPr>
        <w:t>hardrock</w:t>
      </w:r>
      <w:proofErr w:type="spellEnd"/>
      <w:r w:rsidRPr="00FE0B62">
        <w:rPr>
          <w:rFonts w:ascii="Times New Roman" w:eastAsia="Times New Roman" w:hAnsi="Times New Roman" w:cs="Times New Roman"/>
          <w:lang w:val="en-US"/>
        </w:rPr>
        <w:t xml:space="preserve"> mines.</w:t>
      </w:r>
    </w:p>
    <w:p w14:paraId="32397AB5" w14:textId="77777777" w:rsidR="003B2E79" w:rsidRPr="003653AF" w:rsidRDefault="003B2E79" w:rsidP="00BE0573">
      <w:pPr>
        <w:spacing w:after="0"/>
        <w:rPr>
          <w:rFonts w:ascii="Times New Roman" w:eastAsia="Times New Roman" w:hAnsi="Times New Roman" w:cs="Times New Roman"/>
          <w:color w:val="000000"/>
          <w:sz w:val="20"/>
          <w:szCs w:val="20"/>
        </w:rPr>
      </w:pPr>
    </w:p>
    <w:p w14:paraId="0000002D" w14:textId="26DAC80E" w:rsidR="00B57131" w:rsidRPr="007F2F40" w:rsidRDefault="001347E2" w:rsidP="00BE0573">
      <w:pPr>
        <w:spacing w:after="0"/>
        <w:rPr>
          <w:rFonts w:ascii="Times New Roman" w:eastAsia="Times New Roman" w:hAnsi="Times New Roman" w:cs="Times New Roman"/>
          <w:b/>
          <w:bCs/>
          <w:u w:val="single"/>
        </w:rPr>
      </w:pPr>
      <w:r w:rsidRPr="007F2F40">
        <w:rPr>
          <w:rFonts w:ascii="Times New Roman" w:eastAsia="Times New Roman" w:hAnsi="Times New Roman" w:cs="Times New Roman"/>
          <w:b/>
          <w:bCs/>
          <w:u w:val="single"/>
        </w:rPr>
        <w:t>Section 7. Amendments to NEPA</w:t>
      </w:r>
    </w:p>
    <w:p w14:paraId="0BD379AF" w14:textId="164DCE8D" w:rsidR="00557B98" w:rsidRPr="00557B98" w:rsidRDefault="00557B98" w:rsidP="00557B98">
      <w:pPr>
        <w:pBdr>
          <w:top w:val="nil"/>
          <w:left w:val="nil"/>
          <w:bottom w:val="nil"/>
          <w:right w:val="nil"/>
          <w:between w:val="nil"/>
        </w:pBdr>
        <w:spacing w:after="0"/>
        <w:jc w:val="both"/>
        <w:rPr>
          <w:rFonts w:ascii="Times New Roman" w:eastAsia="Times New Roman" w:hAnsi="Times New Roman" w:cs="Times New Roman"/>
          <w:color w:val="000000"/>
          <w:lang w:val="en-US"/>
        </w:rPr>
      </w:pPr>
      <w:r w:rsidRPr="00557B98">
        <w:rPr>
          <w:rFonts w:ascii="Times New Roman" w:eastAsia="Times New Roman" w:hAnsi="Times New Roman" w:cs="Times New Roman"/>
          <w:color w:val="000000"/>
          <w:lang w:val="en-US"/>
        </w:rPr>
        <w:t xml:space="preserve">This section modernizes and streamlines NEPA by reaffirming its purely procedural role, narrowing the scope of environmental review to proximate and nonspeculative impacts, and allowing agencies to rely on other regulatory reviews instead of preparing new NEPA documents. It strengthens coordination by requiring early completeness determinations, unified schedules, and faster final decisions, while limiting cooperating agencies’ comments to matters within their jurisdiction. The section improves efficiency by extending the lifespan of programmatic analyses, enabling reuse of prior documents, and expanding categorical exclusions. It updates key statutory definitions to limit what constitutes a major federal action and refine what counts as reasonably foreseeable impacts. Finally, it reforms judicial review by imposing strict deadlines, </w:t>
      </w:r>
      <w:r w:rsidR="00992E51">
        <w:rPr>
          <w:rFonts w:ascii="Times New Roman" w:eastAsia="Times New Roman" w:hAnsi="Times New Roman" w:cs="Times New Roman"/>
          <w:color w:val="000000"/>
          <w:lang w:val="en-US"/>
        </w:rPr>
        <w:t>refining</w:t>
      </w:r>
      <w:r w:rsidRPr="00557B98">
        <w:rPr>
          <w:rFonts w:ascii="Times New Roman" w:eastAsia="Times New Roman" w:hAnsi="Times New Roman" w:cs="Times New Roman"/>
          <w:color w:val="000000"/>
          <w:lang w:val="en-US"/>
        </w:rPr>
        <w:t xml:space="preserve"> standing, barring vacatur and injunctions, and requiring courts to defer to agency decisions, collectively creating a more predictable, time</w:t>
      </w:r>
      <w:r w:rsidRPr="00557B98">
        <w:rPr>
          <w:rFonts w:ascii="Times New Roman" w:eastAsia="Times New Roman" w:hAnsi="Times New Roman" w:cs="Times New Roman"/>
          <w:color w:val="000000"/>
          <w:lang w:val="en-US"/>
        </w:rPr>
        <w:noBreakHyphen/>
        <w:t>bound, and certainty</w:t>
      </w:r>
      <w:r w:rsidRPr="00557B98">
        <w:rPr>
          <w:rFonts w:ascii="Times New Roman" w:eastAsia="Times New Roman" w:hAnsi="Times New Roman" w:cs="Times New Roman"/>
          <w:color w:val="000000"/>
          <w:lang w:val="en-US"/>
        </w:rPr>
        <w:noBreakHyphen/>
        <w:t>oriented NEPA process.</w:t>
      </w:r>
    </w:p>
    <w:p w14:paraId="00000040" w14:textId="7F6613D7" w:rsidR="00B57131" w:rsidRPr="003653AF" w:rsidRDefault="00B57131" w:rsidP="00557B98">
      <w:pPr>
        <w:pBdr>
          <w:top w:val="nil"/>
          <w:left w:val="nil"/>
          <w:bottom w:val="nil"/>
          <w:right w:val="nil"/>
          <w:between w:val="nil"/>
        </w:pBdr>
        <w:spacing w:after="0"/>
        <w:jc w:val="both"/>
        <w:rPr>
          <w:rFonts w:ascii="Times New Roman" w:eastAsia="Times New Roman" w:hAnsi="Times New Roman" w:cs="Times New Roman"/>
          <w:b/>
          <w:bCs/>
          <w:color w:val="000000"/>
        </w:rPr>
      </w:pPr>
    </w:p>
    <w:sectPr w:rsidR="00B57131" w:rsidRPr="003653AF" w:rsidSect="00765ABF">
      <w:footerReference w:type="default" r:id="rId9"/>
      <w:pgSz w:w="12240" w:h="15840"/>
      <w:pgMar w:top="1440" w:right="1080" w:bottom="1440" w:left="1080" w:header="576"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6CFBC" w14:textId="77777777" w:rsidR="008362DB" w:rsidRDefault="008362DB">
      <w:pPr>
        <w:spacing w:after="0" w:line="240" w:lineRule="auto"/>
      </w:pPr>
      <w:r>
        <w:separator/>
      </w:r>
    </w:p>
  </w:endnote>
  <w:endnote w:type="continuationSeparator" w:id="0">
    <w:p w14:paraId="23DD5C9C" w14:textId="77777777" w:rsidR="008362DB" w:rsidRDefault="00836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8C1E1C9-7693-4BF0-932C-A5592EBD642F}"/>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9D179DF4-B66C-4020-9636-F685F8EB4D17}"/>
    <w:embedItalic r:id="rId3" w:fontKey="{A5DFB458-AA98-4B58-81F8-4A34C84A1671}"/>
  </w:font>
  <w:font w:name="Play">
    <w:charset w:val="00"/>
    <w:family w:val="auto"/>
    <w:pitch w:val="default"/>
    <w:embedRegular r:id="rId4" w:fontKey="{F0A8E241-CDF6-4F64-9762-1705D28DCE14}"/>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6B45C710-6E56-4F06-B97E-E29CBF60E973}"/>
  </w:font>
  <w:font w:name="Cambria">
    <w:panose1 w:val="02040503050406030204"/>
    <w:charset w:val="00"/>
    <w:family w:val="roman"/>
    <w:pitch w:val="variable"/>
    <w:sig w:usb0="E00006FF" w:usb1="420024FF" w:usb2="02000000" w:usb3="00000000" w:csb0="0000019F" w:csb1="00000000"/>
    <w:embedRegular r:id="rId6" w:fontKey="{FB57BF6C-D120-4FEA-A72E-2644F47722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68C0539C" w:rsidR="00B57131" w:rsidRPr="00133FF2" w:rsidRDefault="001347E2">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color w:val="000000"/>
      </w:rPr>
    </w:pPr>
    <w:r w:rsidRPr="00133FF2">
      <w:rPr>
        <w:rFonts w:ascii="Times New Roman" w:hAnsi="Times New Roman" w:cs="Times New Roman"/>
        <w:color w:val="000000"/>
      </w:rPr>
      <w:fldChar w:fldCharType="begin"/>
    </w:r>
    <w:r w:rsidRPr="00133FF2">
      <w:rPr>
        <w:rFonts w:ascii="Times New Roman" w:hAnsi="Times New Roman" w:cs="Times New Roman"/>
        <w:color w:val="000000"/>
      </w:rPr>
      <w:instrText>PAGE</w:instrText>
    </w:r>
    <w:r w:rsidRPr="00133FF2">
      <w:rPr>
        <w:rFonts w:ascii="Times New Roman" w:hAnsi="Times New Roman" w:cs="Times New Roman"/>
        <w:color w:val="000000"/>
      </w:rPr>
      <w:fldChar w:fldCharType="separate"/>
    </w:r>
    <w:r w:rsidR="003C078A" w:rsidRPr="00133FF2">
      <w:rPr>
        <w:rFonts w:ascii="Times New Roman" w:hAnsi="Times New Roman" w:cs="Times New Roman"/>
        <w:noProof/>
        <w:color w:val="000000"/>
      </w:rPr>
      <w:t>1</w:t>
    </w:r>
    <w:r w:rsidRPr="00133FF2">
      <w:rPr>
        <w:rFonts w:ascii="Times New Roman" w:hAnsi="Times New Roman" w:cs="Times New Roman"/>
        <w:color w:val="000000"/>
      </w:rPr>
      <w:fldChar w:fldCharType="end"/>
    </w:r>
  </w:p>
  <w:p w14:paraId="00000042" w14:textId="77777777" w:rsidR="00B57131" w:rsidRDefault="00B5713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EFA59" w14:textId="77777777" w:rsidR="008362DB" w:rsidRDefault="008362DB">
      <w:pPr>
        <w:spacing w:after="0" w:line="240" w:lineRule="auto"/>
      </w:pPr>
      <w:r>
        <w:separator/>
      </w:r>
    </w:p>
  </w:footnote>
  <w:footnote w:type="continuationSeparator" w:id="0">
    <w:p w14:paraId="15961C5C" w14:textId="77777777" w:rsidR="008362DB" w:rsidRDefault="00836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4DD"/>
    <w:multiLevelType w:val="multilevel"/>
    <w:tmpl w:val="9072CF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0E7E1E"/>
    <w:multiLevelType w:val="multilevel"/>
    <w:tmpl w:val="1ACEB1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D374C4"/>
    <w:multiLevelType w:val="multilevel"/>
    <w:tmpl w:val="9CCE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90F3A52"/>
    <w:multiLevelType w:val="multilevel"/>
    <w:tmpl w:val="1DA24C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2AF6B3D"/>
    <w:multiLevelType w:val="multilevel"/>
    <w:tmpl w:val="98B24A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B98687A"/>
    <w:multiLevelType w:val="multilevel"/>
    <w:tmpl w:val="AE9C0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31F4353"/>
    <w:multiLevelType w:val="multilevel"/>
    <w:tmpl w:val="203E3A08"/>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num w:numId="1" w16cid:durableId="838009195">
    <w:abstractNumId w:val="3"/>
  </w:num>
  <w:num w:numId="2" w16cid:durableId="1185437908">
    <w:abstractNumId w:val="5"/>
  </w:num>
  <w:num w:numId="3" w16cid:durableId="1117409850">
    <w:abstractNumId w:val="1"/>
  </w:num>
  <w:num w:numId="4" w16cid:durableId="42219028">
    <w:abstractNumId w:val="0"/>
  </w:num>
  <w:num w:numId="5" w16cid:durableId="524946229">
    <w:abstractNumId w:val="4"/>
  </w:num>
  <w:num w:numId="6" w16cid:durableId="1108700128">
    <w:abstractNumId w:val="2"/>
  </w:num>
  <w:num w:numId="7" w16cid:durableId="14112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131"/>
    <w:rsid w:val="00004E11"/>
    <w:rsid w:val="00017AC7"/>
    <w:rsid w:val="000208B9"/>
    <w:rsid w:val="00096D48"/>
    <w:rsid w:val="000B1C7D"/>
    <w:rsid w:val="001162C4"/>
    <w:rsid w:val="00133FF2"/>
    <w:rsid w:val="001347E2"/>
    <w:rsid w:val="00172138"/>
    <w:rsid w:val="00181D79"/>
    <w:rsid w:val="001A7A3D"/>
    <w:rsid w:val="001C49DE"/>
    <w:rsid w:val="001E1355"/>
    <w:rsid w:val="00207AD9"/>
    <w:rsid w:val="00270F7C"/>
    <w:rsid w:val="00280DBD"/>
    <w:rsid w:val="0031397D"/>
    <w:rsid w:val="0031601E"/>
    <w:rsid w:val="00354414"/>
    <w:rsid w:val="003653AF"/>
    <w:rsid w:val="003B2E79"/>
    <w:rsid w:val="003C078A"/>
    <w:rsid w:val="003F2550"/>
    <w:rsid w:val="00436197"/>
    <w:rsid w:val="00447E89"/>
    <w:rsid w:val="004C00CB"/>
    <w:rsid w:val="004D130F"/>
    <w:rsid w:val="00502A4A"/>
    <w:rsid w:val="005075DF"/>
    <w:rsid w:val="00557B98"/>
    <w:rsid w:val="005768E6"/>
    <w:rsid w:val="00580D04"/>
    <w:rsid w:val="005A725D"/>
    <w:rsid w:val="005C10ED"/>
    <w:rsid w:val="005C17BE"/>
    <w:rsid w:val="005F00B2"/>
    <w:rsid w:val="00676AFE"/>
    <w:rsid w:val="006B5682"/>
    <w:rsid w:val="006F181A"/>
    <w:rsid w:val="007368AB"/>
    <w:rsid w:val="00765ABF"/>
    <w:rsid w:val="007827C4"/>
    <w:rsid w:val="007B3A9C"/>
    <w:rsid w:val="007D018D"/>
    <w:rsid w:val="007F2F40"/>
    <w:rsid w:val="0081459A"/>
    <w:rsid w:val="008362DB"/>
    <w:rsid w:val="00841124"/>
    <w:rsid w:val="0084746B"/>
    <w:rsid w:val="0086384C"/>
    <w:rsid w:val="008B6E06"/>
    <w:rsid w:val="0090099E"/>
    <w:rsid w:val="00920EF4"/>
    <w:rsid w:val="00930B6E"/>
    <w:rsid w:val="009449F8"/>
    <w:rsid w:val="009500E5"/>
    <w:rsid w:val="00952C4F"/>
    <w:rsid w:val="00992E51"/>
    <w:rsid w:val="00994A7D"/>
    <w:rsid w:val="009A3A2F"/>
    <w:rsid w:val="009C4D8A"/>
    <w:rsid w:val="00A03A19"/>
    <w:rsid w:val="00A1380D"/>
    <w:rsid w:val="00A50500"/>
    <w:rsid w:val="00A8106C"/>
    <w:rsid w:val="00AB4C1B"/>
    <w:rsid w:val="00B54A5E"/>
    <w:rsid w:val="00B550B4"/>
    <w:rsid w:val="00B57131"/>
    <w:rsid w:val="00B615F8"/>
    <w:rsid w:val="00B94DB4"/>
    <w:rsid w:val="00B96DA6"/>
    <w:rsid w:val="00BD054A"/>
    <w:rsid w:val="00BE0573"/>
    <w:rsid w:val="00C02F21"/>
    <w:rsid w:val="00C33958"/>
    <w:rsid w:val="00C726FF"/>
    <w:rsid w:val="00CC65C3"/>
    <w:rsid w:val="00CD2DC4"/>
    <w:rsid w:val="00CE46FD"/>
    <w:rsid w:val="00CF17CA"/>
    <w:rsid w:val="00CF5088"/>
    <w:rsid w:val="00D05912"/>
    <w:rsid w:val="00D171F5"/>
    <w:rsid w:val="00D47DD3"/>
    <w:rsid w:val="00D74206"/>
    <w:rsid w:val="00D7735A"/>
    <w:rsid w:val="00DD13BF"/>
    <w:rsid w:val="00E56A88"/>
    <w:rsid w:val="00F6681D"/>
    <w:rsid w:val="00FE0B62"/>
    <w:rsid w:val="186B266E"/>
    <w:rsid w:val="34490D9C"/>
    <w:rsid w:val="3C83E6AF"/>
    <w:rsid w:val="6AB37397"/>
    <w:rsid w:val="7685ED9F"/>
    <w:rsid w:val="779D7128"/>
    <w:rsid w:val="7A8C1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3F35A"/>
  <w15:docId w15:val="{0BEBBC34-2F3B-4B46-AD77-9C358EA1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5A72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25D"/>
  </w:style>
  <w:style w:type="paragraph" w:styleId="Footer">
    <w:name w:val="footer"/>
    <w:basedOn w:val="Normal"/>
    <w:link w:val="FooterChar"/>
    <w:uiPriority w:val="99"/>
    <w:unhideWhenUsed/>
    <w:rsid w:val="005A72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ijNZGvz242bygidRtSpN1droeg==">CgMxLjA4AHIhMW8zRE1QT19yU1VoeWZLcXpGQVFnSWNaaElOcHJTblds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4739</Characters>
  <Application>Microsoft Office Word</Application>
  <DocSecurity>0</DocSecurity>
  <Lines>39</Lines>
  <Paragraphs>11</Paragraphs>
  <ScaleCrop>false</ScaleCrop>
  <Company>United States Senate</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Krekorian, Elise (Armstrong)</dc:creator>
  <cp:lastModifiedBy>Krekorian, Elise (Armstrong)</cp:lastModifiedBy>
  <cp:revision>2</cp:revision>
  <cp:lastPrinted>2026-06-23T19:39:00Z</cp:lastPrinted>
  <dcterms:created xsi:type="dcterms:W3CDTF">2026-06-25T15:01:00Z</dcterms:created>
  <dcterms:modified xsi:type="dcterms:W3CDTF">2026-06-25T15:01:00Z</dcterms:modified>
</cp:coreProperties>
</file>